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41C" w:rsidRPr="00787BF1" w:rsidRDefault="0076741C" w:rsidP="0076741C">
      <w:pPr>
        <w:pStyle w:val="Heading2"/>
      </w:pPr>
      <w:bookmarkStart w:id="0" w:name="_Toc155342967"/>
      <w:bookmarkStart w:id="1" w:name="_GoBack"/>
      <w:r w:rsidRPr="00787BF1">
        <w:rPr>
          <w:b/>
          <w:sz w:val="24"/>
        </w:rPr>
        <w:t xml:space="preserve">289. </w:t>
      </w:r>
      <w:r>
        <w:rPr>
          <w:b/>
          <w:sz w:val="24"/>
        </w:rPr>
        <w:t>ỦY BAN NHÂN DÂN</w:t>
      </w:r>
      <w:bookmarkEnd w:id="1"/>
      <w:r w:rsidRPr="00787BF1">
        <w:t xml:space="preserve">, cơ quan chấp hành của </w:t>
      </w:r>
      <w:r>
        <w:t>Hội đồng nhân dân</w:t>
      </w:r>
      <w:r w:rsidRPr="00787BF1">
        <w:t xml:space="preserve"> cùng cấp, cơ quan hành chính nhà nước ở địa phương, chịu trách nhiệm trước </w:t>
      </w:r>
      <w:r>
        <w:t>Hội đồng nhân dân</w:t>
      </w:r>
      <w:r w:rsidRPr="00787BF1">
        <w:t xml:space="preserve"> cùng cấp và cơ quan hành chính nhà nước cấp trên.</w:t>
      </w:r>
      <w:bookmarkEnd w:id="0"/>
    </w:p>
    <w:p w:rsidR="0076741C" w:rsidRPr="00787BF1" w:rsidRDefault="0076741C" w:rsidP="0076741C">
      <w:pPr>
        <w:widowControl w:val="0"/>
        <w:adjustRightInd w:val="0"/>
        <w:snapToGrid w:val="0"/>
        <w:spacing w:before="120"/>
        <w:ind w:firstLine="284"/>
        <w:jc w:val="both"/>
        <w:rPr>
          <w:szCs w:val="28"/>
        </w:rPr>
      </w:pPr>
      <w:r w:rsidRPr="00787BF1">
        <w:rPr>
          <w:szCs w:val="28"/>
        </w:rPr>
        <w:t xml:space="preserve">UBND do </w:t>
      </w:r>
      <w:r>
        <w:rPr>
          <w:szCs w:val="28"/>
        </w:rPr>
        <w:t>Hội đồng nhân dân</w:t>
      </w:r>
      <w:r w:rsidRPr="00787BF1">
        <w:rPr>
          <w:szCs w:val="28"/>
        </w:rPr>
        <w:t xml:space="preserve"> cùng cấp bầu ra. UBND gồm Chủ tịch, Phó Chủ tịch và các Ủy viên. Số lượng Phó Chủ tịch UBND các cấp </w:t>
      </w:r>
      <w:r>
        <w:rPr>
          <w:szCs w:val="28"/>
        </w:rPr>
        <w:t>được quy định trong Nghị định của</w:t>
      </w:r>
      <w:r w:rsidRPr="00787BF1">
        <w:rPr>
          <w:szCs w:val="28"/>
        </w:rPr>
        <w:t xml:space="preserve"> Chính phủ. </w:t>
      </w:r>
    </w:p>
    <w:p w:rsidR="0076741C" w:rsidRPr="00787BF1" w:rsidRDefault="0076741C" w:rsidP="0076741C">
      <w:pPr>
        <w:widowControl w:val="0"/>
        <w:adjustRightInd w:val="0"/>
        <w:snapToGrid w:val="0"/>
        <w:spacing w:before="120"/>
        <w:ind w:firstLine="284"/>
        <w:jc w:val="both"/>
        <w:rPr>
          <w:szCs w:val="28"/>
        </w:rPr>
      </w:pPr>
      <w:r w:rsidRPr="00787BF1">
        <w:rPr>
          <w:szCs w:val="28"/>
        </w:rPr>
        <w:t xml:space="preserve">UBND có chức năng tổ chức thực hiện Hiến pháp và pháp luật ở địa phương; tổ chức thực hiện nghị quyết của </w:t>
      </w:r>
      <w:r>
        <w:rPr>
          <w:szCs w:val="28"/>
        </w:rPr>
        <w:t>Hội đồng nhân dân</w:t>
      </w:r>
      <w:r w:rsidRPr="00787BF1">
        <w:rPr>
          <w:szCs w:val="28"/>
        </w:rPr>
        <w:t xml:space="preserve"> cùng cấp và thực hiện các nhiệm vụ do cơ quan nhà nước cấp trên giao. </w:t>
      </w:r>
    </w:p>
    <w:p w:rsidR="0076741C" w:rsidRPr="00787BF1" w:rsidRDefault="0076741C" w:rsidP="0076741C">
      <w:pPr>
        <w:widowControl w:val="0"/>
        <w:adjustRightInd w:val="0"/>
        <w:snapToGrid w:val="0"/>
        <w:spacing w:before="120"/>
        <w:ind w:firstLine="284"/>
        <w:jc w:val="both"/>
        <w:rPr>
          <w:szCs w:val="28"/>
        </w:rPr>
      </w:pPr>
      <w:r w:rsidRPr="00787BF1">
        <w:rPr>
          <w:szCs w:val="28"/>
        </w:rPr>
        <w:t>Trước đây, theo các Hiến pháp 1946, 1959</w:t>
      </w:r>
      <w:r w:rsidRPr="00787BF1">
        <w:rPr>
          <w:szCs w:val="28"/>
          <w:lang w:val="vi-VN"/>
        </w:rPr>
        <w:t>,</w:t>
      </w:r>
      <w:r w:rsidRPr="00787BF1">
        <w:rPr>
          <w:szCs w:val="28"/>
        </w:rPr>
        <w:t xml:space="preserve"> UBND có tên gọi là Ủy ban hành chính. Thuật ngữ “Ủy ban hành chính” lần đầu tiên được quy định trong Sắc lệnh số 63/SL ngày 22</w:t>
      </w:r>
      <w:r w:rsidRPr="00787BF1">
        <w:rPr>
          <w:szCs w:val="28"/>
          <w:lang w:val="vi-VN"/>
        </w:rPr>
        <w:t>.</w:t>
      </w:r>
      <w:r w:rsidRPr="00787BF1">
        <w:rPr>
          <w:szCs w:val="28"/>
        </w:rPr>
        <w:t>11.945 về tổ chức chính quyền nhân dân xã, huyện, tỉnh, kỳ và Sắc lệnh số 77/SL ngày 21.12.1945 quy định về chính quyền nhân dân thành phố, thị xã, khu phố. Theo hai sắc lệnh này</w:t>
      </w:r>
      <w:r w:rsidRPr="00787BF1">
        <w:rPr>
          <w:szCs w:val="28"/>
          <w:lang w:val="vi-VN"/>
        </w:rPr>
        <w:t>,</w:t>
      </w:r>
      <w:r w:rsidRPr="00787BF1">
        <w:rPr>
          <w:szCs w:val="28"/>
        </w:rPr>
        <w:t xml:space="preserve"> chính quyền địa phương trong toàn quốc bao gồm hai tổ chức là </w:t>
      </w:r>
      <w:r>
        <w:rPr>
          <w:szCs w:val="28"/>
        </w:rPr>
        <w:t>Hội đồng nhân dân</w:t>
      </w:r>
      <w:r w:rsidRPr="00787BF1">
        <w:rPr>
          <w:szCs w:val="28"/>
        </w:rPr>
        <w:t xml:space="preserve"> và Ủy ban hành chính. </w:t>
      </w:r>
      <w:r>
        <w:rPr>
          <w:szCs w:val="28"/>
        </w:rPr>
        <w:t>Hội đồng nhân dân</w:t>
      </w:r>
      <w:r w:rsidRPr="00787BF1">
        <w:rPr>
          <w:szCs w:val="28"/>
        </w:rPr>
        <w:t xml:space="preserve"> do dân bầu ra theo lối phổ thông và trực tiếp</w:t>
      </w:r>
      <w:r w:rsidRPr="00787BF1">
        <w:rPr>
          <w:szCs w:val="28"/>
          <w:lang w:val="vi-VN"/>
        </w:rPr>
        <w:t>,</w:t>
      </w:r>
      <w:r w:rsidRPr="00787BF1">
        <w:rPr>
          <w:szCs w:val="28"/>
        </w:rPr>
        <w:t xml:space="preserve"> là cơ quan thay mặt cho dân. Ủy ban hành chính do các </w:t>
      </w:r>
      <w:r>
        <w:rPr>
          <w:szCs w:val="28"/>
        </w:rPr>
        <w:t>Hội đồng nhân dân</w:t>
      </w:r>
      <w:r w:rsidRPr="00787BF1">
        <w:rPr>
          <w:szCs w:val="28"/>
        </w:rPr>
        <w:t xml:space="preserve"> bầu ra</w:t>
      </w:r>
      <w:r w:rsidRPr="00787BF1">
        <w:rPr>
          <w:szCs w:val="28"/>
          <w:lang w:val="vi-VN"/>
        </w:rPr>
        <w:t>,</w:t>
      </w:r>
      <w:r w:rsidRPr="00787BF1">
        <w:rPr>
          <w:szCs w:val="28"/>
        </w:rPr>
        <w:t xml:space="preserve"> là cơ quan hành chính</w:t>
      </w:r>
      <w:r w:rsidRPr="00787BF1">
        <w:rPr>
          <w:szCs w:val="28"/>
          <w:lang w:val="vi-VN"/>
        </w:rPr>
        <w:t>,</w:t>
      </w:r>
      <w:r w:rsidRPr="00787BF1">
        <w:rPr>
          <w:szCs w:val="28"/>
        </w:rPr>
        <w:t xml:space="preserve"> vừa thay mặt cho dân vừa đại diện cho Chính phủ. Ở kỳ, huyện và khu phố chỉ thành lập Ủy ban hành chính, không thành lập </w:t>
      </w:r>
      <w:r>
        <w:rPr>
          <w:szCs w:val="28"/>
        </w:rPr>
        <w:t>Hội đồng nhân dân</w:t>
      </w:r>
      <w:r w:rsidRPr="00787BF1">
        <w:rPr>
          <w:szCs w:val="28"/>
        </w:rPr>
        <w:t xml:space="preserve">; còn ở các cấp tỉnh, thành phố, thị xã, thị trấn và xã vừa có </w:t>
      </w:r>
      <w:r>
        <w:rPr>
          <w:szCs w:val="28"/>
        </w:rPr>
        <w:t>Hội đồng nhân dân</w:t>
      </w:r>
      <w:r w:rsidRPr="00787BF1">
        <w:rPr>
          <w:szCs w:val="28"/>
        </w:rPr>
        <w:t xml:space="preserve"> và Ủy ban hành chính. Theo Hiến pháp 1946, 1959, Ủy ban hành chính có trách nhiệm thi hành các mệnh lệnh cấp trên, các nghị quyết của </w:t>
      </w:r>
      <w:r>
        <w:rPr>
          <w:szCs w:val="28"/>
        </w:rPr>
        <w:t>Hội đồng nhân dân</w:t>
      </w:r>
      <w:r w:rsidRPr="00787BF1">
        <w:rPr>
          <w:szCs w:val="28"/>
        </w:rPr>
        <w:t xml:space="preserve"> cùng cấp sau khi</w:t>
      </w:r>
      <w:r w:rsidRPr="00787BF1">
        <w:rPr>
          <w:szCs w:val="28"/>
          <w:lang w:val="vi-VN"/>
        </w:rPr>
        <w:t xml:space="preserve"> </w:t>
      </w:r>
      <w:r w:rsidRPr="00787BF1">
        <w:rPr>
          <w:szCs w:val="28"/>
        </w:rPr>
        <w:t xml:space="preserve">được cấp trên chuẩn y; chỉ huy công việc hành chính ở địa phương. Ủy ban hành chính chịu trách nhiệm trước </w:t>
      </w:r>
      <w:r>
        <w:rPr>
          <w:szCs w:val="28"/>
        </w:rPr>
        <w:t>Hội đồng nhân dân</w:t>
      </w:r>
      <w:r w:rsidRPr="00787BF1">
        <w:rPr>
          <w:szCs w:val="28"/>
        </w:rPr>
        <w:t xml:space="preserve"> cấp mình và Ủy ban hành chính cấp trên.</w:t>
      </w:r>
    </w:p>
    <w:p w:rsidR="0076741C" w:rsidRPr="00787BF1" w:rsidRDefault="0076741C" w:rsidP="0076741C">
      <w:pPr>
        <w:widowControl w:val="0"/>
        <w:adjustRightInd w:val="0"/>
        <w:snapToGrid w:val="0"/>
        <w:spacing w:before="120"/>
        <w:ind w:firstLine="284"/>
        <w:jc w:val="both"/>
        <w:rPr>
          <w:szCs w:val="28"/>
        </w:rPr>
      </w:pPr>
      <w:r w:rsidRPr="00787BF1">
        <w:rPr>
          <w:szCs w:val="28"/>
        </w:rPr>
        <w:t>Từ</w:t>
      </w:r>
      <w:r w:rsidRPr="00787BF1">
        <w:rPr>
          <w:szCs w:val="28"/>
          <w:lang w:val="vi-VN"/>
        </w:rPr>
        <w:t xml:space="preserve"> </w:t>
      </w:r>
      <w:r w:rsidRPr="00787BF1">
        <w:rPr>
          <w:szCs w:val="28"/>
        </w:rPr>
        <w:t>Hiến pháp 1980</w:t>
      </w:r>
      <w:r w:rsidRPr="00787BF1">
        <w:rPr>
          <w:szCs w:val="28"/>
          <w:lang w:val="vi-VN"/>
        </w:rPr>
        <w:t>,</w:t>
      </w:r>
      <w:r w:rsidRPr="00787BF1">
        <w:rPr>
          <w:szCs w:val="28"/>
        </w:rPr>
        <w:t xml:space="preserve"> Ủy ban hành chính được đổi tên thành UBND và được giữ nguyên trong các Hiến pháp tiếp theo</w:t>
      </w:r>
      <w:r w:rsidRPr="00787BF1">
        <w:rPr>
          <w:szCs w:val="28"/>
          <w:lang w:val="vi-VN"/>
        </w:rPr>
        <w:t xml:space="preserve"> năm</w:t>
      </w:r>
      <w:r w:rsidRPr="00787BF1">
        <w:rPr>
          <w:szCs w:val="28"/>
        </w:rPr>
        <w:t xml:space="preserve"> 1992, năm 2013. Theo Hiến pháp và Luật tổ chức chính quyền địa phương hiện hành</w:t>
      </w:r>
      <w:r w:rsidRPr="00787BF1">
        <w:rPr>
          <w:szCs w:val="28"/>
          <w:lang w:val="vi-VN"/>
        </w:rPr>
        <w:t>,</w:t>
      </w:r>
      <w:r w:rsidRPr="00787BF1">
        <w:rPr>
          <w:szCs w:val="28"/>
        </w:rPr>
        <w:t xml:space="preserve"> UBND các cấp có nhiệm vụ quản lý công tác hành chính ở địa phương, chấp hành các nghị quyết của </w:t>
      </w:r>
      <w:r>
        <w:rPr>
          <w:szCs w:val="28"/>
        </w:rPr>
        <w:t>Hội đồng nhân dân</w:t>
      </w:r>
      <w:r w:rsidRPr="00787BF1">
        <w:rPr>
          <w:szCs w:val="28"/>
        </w:rPr>
        <w:t xml:space="preserve"> cùng cấp và các luật, pháp lệnh, lệnh, nghị quyết, quyết định, thông tư và các văn bản pháp luật khác của cơ quan nhà nước cấp trên. UBND chịu trách nhiệm và báo cáo công tác trước </w:t>
      </w:r>
      <w:r>
        <w:rPr>
          <w:szCs w:val="28"/>
        </w:rPr>
        <w:t>Hội đồng nhân dân</w:t>
      </w:r>
      <w:r w:rsidRPr="00787BF1">
        <w:rPr>
          <w:szCs w:val="28"/>
        </w:rPr>
        <w:t xml:space="preserve"> cùng cấp và cơ quan hành chính cấp trên, chịu sự lãnh đạo thống nhất của Chính phủ. UBND các cấp được ban hành các quyết định là văn bản quy phạm pháp luật để thực hiện công tác quản lý của mình. Nhiệm kỳ của UBND các cấp theo nhiệm kỳ của </w:t>
      </w:r>
      <w:r>
        <w:rPr>
          <w:szCs w:val="28"/>
        </w:rPr>
        <w:t>Hội đồng nhân dân</w:t>
      </w:r>
      <w:r w:rsidRPr="00787BF1">
        <w:rPr>
          <w:szCs w:val="28"/>
        </w:rPr>
        <w:t xml:space="preserve"> các cấp mà được luật xác định là 5 năm. </w:t>
      </w:r>
    </w:p>
    <w:p w:rsidR="0076741C" w:rsidRPr="00787BF1" w:rsidRDefault="0076741C" w:rsidP="0076741C">
      <w:pPr>
        <w:widowControl w:val="0"/>
        <w:adjustRightInd w:val="0"/>
        <w:snapToGrid w:val="0"/>
        <w:spacing w:before="120"/>
        <w:ind w:firstLine="284"/>
        <w:jc w:val="both"/>
        <w:rPr>
          <w:szCs w:val="28"/>
        </w:rPr>
      </w:pPr>
      <w:r w:rsidRPr="00787BF1">
        <w:rPr>
          <w:szCs w:val="28"/>
        </w:rPr>
        <w:t>Trong trường hợp cần thiết</w:t>
      </w:r>
      <w:r w:rsidRPr="00787BF1">
        <w:rPr>
          <w:szCs w:val="28"/>
          <w:lang w:val="vi-VN"/>
        </w:rPr>
        <w:t>,</w:t>
      </w:r>
      <w:r w:rsidRPr="00787BF1">
        <w:rPr>
          <w:szCs w:val="28"/>
        </w:rPr>
        <w:t xml:space="preserve"> cơ quan hành chính nhà nước cấp trên có thể ủy quyền bằng văn bản cho UBND cấp dưới hoặc cơ quan, tổ chức khác thực hiện một hoặc một số nhiệm vụ, quyền hạn của mình trong một khoảng thời gian xác định</w:t>
      </w:r>
      <w:r w:rsidRPr="00787BF1">
        <w:rPr>
          <w:szCs w:val="28"/>
          <w:lang w:val="vi-VN"/>
        </w:rPr>
        <w:t>,</w:t>
      </w:r>
      <w:r w:rsidRPr="00787BF1">
        <w:rPr>
          <w:szCs w:val="28"/>
        </w:rPr>
        <w:t xml:space="preserve"> với điều kiện phải đảm bảo các nguồn lực và điều kiện cần thiết khác để thực hiện nhiệm vụ, quyền hạn mà mình ủy quyền. Cơ quan ủy quyền phải hướng dẫn, kiểm tra và chịu trách nhiệm về kết quả thực hiện nhiệm vụ</w:t>
      </w:r>
      <w:r w:rsidRPr="00787BF1">
        <w:rPr>
          <w:szCs w:val="28"/>
          <w:lang w:val="vi-VN"/>
        </w:rPr>
        <w:t>,</w:t>
      </w:r>
      <w:r w:rsidRPr="00787BF1">
        <w:rPr>
          <w:szCs w:val="28"/>
        </w:rPr>
        <w:t xml:space="preserve"> quyền hạn mà mình đã ủy quyền. Cơ quan, tổ chức được ủy quyền phải thực hiện đúng nội dung </w:t>
      </w:r>
      <w:r w:rsidRPr="00787BF1">
        <w:rPr>
          <w:szCs w:val="28"/>
        </w:rPr>
        <w:lastRenderedPageBreak/>
        <w:t>và chịu trách nhiệm trước cơ quan hành chính nhà nước cấp trên về nhiệm vụ</w:t>
      </w:r>
      <w:r w:rsidRPr="00787BF1">
        <w:rPr>
          <w:szCs w:val="28"/>
          <w:lang w:val="vi-VN"/>
        </w:rPr>
        <w:t>,</w:t>
      </w:r>
      <w:r w:rsidRPr="00787BF1">
        <w:rPr>
          <w:szCs w:val="28"/>
        </w:rPr>
        <w:t xml:space="preserve"> quyền hạn mình được ủy quyền. Cơ quan, tổ chức nhận ủy quyền không được ủy quyền tiếp cho cơ quan, tổ chức khác thực hiện. </w:t>
      </w:r>
    </w:p>
    <w:p w:rsidR="0076741C" w:rsidRPr="00787BF1" w:rsidRDefault="0076741C" w:rsidP="0076741C">
      <w:pPr>
        <w:widowControl w:val="0"/>
        <w:adjustRightInd w:val="0"/>
        <w:snapToGrid w:val="0"/>
        <w:spacing w:before="120"/>
        <w:ind w:firstLine="284"/>
        <w:jc w:val="both"/>
        <w:rPr>
          <w:szCs w:val="28"/>
        </w:rPr>
      </w:pPr>
      <w:r w:rsidRPr="00787BF1">
        <w:rPr>
          <w:szCs w:val="28"/>
        </w:rPr>
        <w:t>Theo Luật tổ chức chính quyền địa phương, việc phân cấp và ủy quyền đối với chính quyền địa phương có những điểm giống và khác nhau nhất định</w:t>
      </w:r>
      <w:r w:rsidRPr="00787BF1">
        <w:rPr>
          <w:szCs w:val="28"/>
          <w:lang w:val="vi-VN"/>
        </w:rPr>
        <w:t xml:space="preserve">. </w:t>
      </w:r>
      <w:r w:rsidRPr="00787BF1">
        <w:rPr>
          <w:szCs w:val="28"/>
        </w:rPr>
        <w:t>Điểm giống nhau là cả trong phân cấp và ủy quyền</w:t>
      </w:r>
      <w:r w:rsidRPr="00787BF1">
        <w:rPr>
          <w:szCs w:val="28"/>
          <w:lang w:val="vi-VN"/>
        </w:rPr>
        <w:t>,</w:t>
      </w:r>
      <w:r w:rsidRPr="00787BF1">
        <w:rPr>
          <w:szCs w:val="28"/>
        </w:rPr>
        <w:t xml:space="preserve"> cơ quan nhà nước cấp trên đều phải đảm bảo các nguồn lực và điều kiện cần thiết để cơ quan được ủy quyền hoặc phân cấp thực hiện các nhiệm vụ được giao, đồng</w:t>
      </w:r>
      <w:r w:rsidRPr="00787BF1">
        <w:rPr>
          <w:szCs w:val="28"/>
          <w:lang w:val="vi-VN"/>
        </w:rPr>
        <w:t xml:space="preserve"> thời </w:t>
      </w:r>
      <w:r w:rsidRPr="00787BF1">
        <w:rPr>
          <w:szCs w:val="28"/>
        </w:rPr>
        <w:t>phải hướng dẫn, kiểm tra</w:t>
      </w:r>
      <w:r w:rsidRPr="00787BF1">
        <w:rPr>
          <w:szCs w:val="28"/>
          <w:lang w:val="vi-VN"/>
        </w:rPr>
        <w:t xml:space="preserve"> </w:t>
      </w:r>
      <w:r w:rsidRPr="00787BF1">
        <w:rPr>
          <w:szCs w:val="28"/>
        </w:rPr>
        <w:t>và chịu trách nhiệm về kết quả thực hiện nhiệm vụ, quyền hạn mình đã phân cấp hoặc ủy quyền. Điểm khác nhau là trong ủy quyền thì cơ quan được ủy quyền không được ủy quyền tiếp cho cơ quan khác, trong khi</w:t>
      </w:r>
      <w:r w:rsidRPr="00787BF1">
        <w:rPr>
          <w:szCs w:val="28"/>
          <w:lang w:val="vi-VN"/>
        </w:rPr>
        <w:t xml:space="preserve"> trong phân cấp,</w:t>
      </w:r>
      <w:r w:rsidRPr="00787BF1">
        <w:rPr>
          <w:szCs w:val="28"/>
        </w:rPr>
        <w:t xml:space="preserve"> cơ quan được phân cấp có thể phân cấp tiếp cho chính quyền địa phương hoặc cơ quan nhà nước cấp dưới thực hiện các nhiệm vụ,</w:t>
      </w:r>
      <w:r w:rsidRPr="00787BF1">
        <w:rPr>
          <w:szCs w:val="28"/>
          <w:lang w:val="vi-VN"/>
        </w:rPr>
        <w:t xml:space="preserve"> </w:t>
      </w:r>
      <w:r w:rsidRPr="00787BF1">
        <w:rPr>
          <w:szCs w:val="28"/>
        </w:rPr>
        <w:t>quyền hạn mình</w:t>
      </w:r>
      <w:r w:rsidRPr="00787BF1">
        <w:rPr>
          <w:szCs w:val="28"/>
          <w:lang w:val="vi-VN"/>
        </w:rPr>
        <w:t xml:space="preserve"> </w:t>
      </w:r>
      <w:r w:rsidRPr="00787BF1">
        <w:rPr>
          <w:szCs w:val="28"/>
        </w:rPr>
        <w:t>đã được phân cấp</w:t>
      </w:r>
      <w:r w:rsidRPr="00787BF1">
        <w:rPr>
          <w:szCs w:val="28"/>
          <w:lang w:val="vi-VN"/>
        </w:rPr>
        <w:t>,</w:t>
      </w:r>
      <w:r w:rsidRPr="00787BF1">
        <w:rPr>
          <w:szCs w:val="28"/>
        </w:rPr>
        <w:t xml:space="preserve"> với điều kiện phải được sự đồng ý của cơ quan nhà nước đã phân cấp. </w:t>
      </w:r>
    </w:p>
    <w:p w:rsidR="0076741C" w:rsidRPr="00787BF1" w:rsidRDefault="0076741C" w:rsidP="0076741C">
      <w:pPr>
        <w:widowControl w:val="0"/>
        <w:adjustRightInd w:val="0"/>
        <w:snapToGrid w:val="0"/>
        <w:spacing w:before="120"/>
        <w:ind w:firstLine="284"/>
        <w:jc w:val="right"/>
        <w:rPr>
          <w:b/>
          <w:sz w:val="22"/>
        </w:rPr>
      </w:pPr>
      <w:r w:rsidRPr="00787BF1">
        <w:rPr>
          <w:b/>
          <w:sz w:val="22"/>
        </w:rPr>
        <w:t>THÁI VĨNH THẮNG</w:t>
      </w:r>
    </w:p>
    <w:p w:rsidR="0076741C" w:rsidRPr="00787BF1" w:rsidRDefault="0076741C" w:rsidP="0076741C">
      <w:pPr>
        <w:widowControl w:val="0"/>
        <w:adjustRightInd w:val="0"/>
        <w:snapToGrid w:val="0"/>
        <w:spacing w:before="120"/>
        <w:ind w:firstLine="284"/>
        <w:jc w:val="both"/>
        <w:rPr>
          <w:b/>
          <w:sz w:val="24"/>
        </w:rPr>
      </w:pPr>
      <w:r w:rsidRPr="00787BF1">
        <w:rPr>
          <w:b/>
          <w:sz w:val="24"/>
        </w:rPr>
        <w:t xml:space="preserve">Tài liệu tham khảo: </w:t>
      </w:r>
    </w:p>
    <w:p w:rsidR="0076741C" w:rsidRPr="00787BF1" w:rsidRDefault="0076741C" w:rsidP="0076741C">
      <w:pPr>
        <w:widowControl w:val="0"/>
        <w:numPr>
          <w:ilvl w:val="0"/>
          <w:numId w:val="1"/>
        </w:numPr>
        <w:tabs>
          <w:tab w:val="left" w:pos="567"/>
        </w:tabs>
        <w:adjustRightInd w:val="0"/>
        <w:snapToGrid w:val="0"/>
        <w:spacing w:before="120"/>
        <w:ind w:left="0" w:firstLine="284"/>
        <w:jc w:val="both"/>
        <w:rPr>
          <w:sz w:val="24"/>
          <w:szCs w:val="24"/>
        </w:rPr>
      </w:pPr>
      <w:r w:rsidRPr="00787BF1">
        <w:rPr>
          <w:sz w:val="24"/>
          <w:szCs w:val="24"/>
        </w:rPr>
        <w:t xml:space="preserve">Đại học Luật Hà Nội, Thái Vĩnh Thắng và Tô Văn Hòa </w:t>
      </w:r>
      <w:r>
        <w:rPr>
          <w:sz w:val="24"/>
          <w:szCs w:val="24"/>
        </w:rPr>
        <w:t>(chủ biên)</w:t>
      </w:r>
      <w:r w:rsidRPr="00787BF1">
        <w:rPr>
          <w:sz w:val="24"/>
          <w:szCs w:val="24"/>
        </w:rPr>
        <w:t xml:space="preserve">, </w:t>
      </w:r>
      <w:r w:rsidRPr="00787BF1">
        <w:rPr>
          <w:i/>
          <w:sz w:val="24"/>
          <w:szCs w:val="24"/>
        </w:rPr>
        <w:t>Giáo trình Luật hiến pháp Việt Nam</w:t>
      </w:r>
      <w:r w:rsidRPr="00787BF1">
        <w:rPr>
          <w:sz w:val="24"/>
          <w:szCs w:val="24"/>
        </w:rPr>
        <w:t>, Nxb. Tư pháp, 2019.</w:t>
      </w:r>
    </w:p>
    <w:p w:rsidR="0076741C" w:rsidRPr="00787BF1" w:rsidRDefault="0076741C" w:rsidP="0076741C">
      <w:pPr>
        <w:widowControl w:val="0"/>
        <w:numPr>
          <w:ilvl w:val="0"/>
          <w:numId w:val="1"/>
        </w:numPr>
        <w:tabs>
          <w:tab w:val="left" w:pos="567"/>
        </w:tabs>
        <w:adjustRightInd w:val="0"/>
        <w:snapToGrid w:val="0"/>
        <w:spacing w:before="120"/>
        <w:ind w:left="0" w:firstLine="284"/>
        <w:jc w:val="both"/>
        <w:rPr>
          <w:sz w:val="24"/>
          <w:szCs w:val="24"/>
        </w:rPr>
      </w:pPr>
      <w:r w:rsidRPr="00787BF1">
        <w:rPr>
          <w:i/>
          <w:sz w:val="24"/>
          <w:szCs w:val="24"/>
        </w:rPr>
        <w:t>Luật Tổ chức chính quyền địa phương năm 2015</w:t>
      </w:r>
      <w:r w:rsidRPr="00787BF1">
        <w:rPr>
          <w:sz w:val="24"/>
          <w:szCs w:val="24"/>
        </w:rPr>
        <w:t xml:space="preserve">, Nxb. Chính trị quốc gia, 2016. </w:t>
      </w:r>
    </w:p>
    <w:p w:rsidR="0076741C" w:rsidRPr="00787BF1" w:rsidRDefault="0076741C" w:rsidP="0076741C">
      <w:pPr>
        <w:widowControl w:val="0"/>
        <w:numPr>
          <w:ilvl w:val="0"/>
          <w:numId w:val="1"/>
        </w:numPr>
        <w:tabs>
          <w:tab w:val="left" w:pos="567"/>
        </w:tabs>
        <w:adjustRightInd w:val="0"/>
        <w:snapToGrid w:val="0"/>
        <w:spacing w:before="120"/>
        <w:ind w:left="0" w:firstLine="284"/>
        <w:jc w:val="both"/>
        <w:rPr>
          <w:sz w:val="24"/>
          <w:szCs w:val="24"/>
        </w:rPr>
      </w:pPr>
      <w:r w:rsidRPr="00787BF1">
        <w:rPr>
          <w:sz w:val="24"/>
          <w:szCs w:val="24"/>
        </w:rPr>
        <w:t xml:space="preserve">Ban biên tập sửa đổi Hiến pháp năm1992, </w:t>
      </w:r>
      <w:r w:rsidRPr="00787BF1">
        <w:rPr>
          <w:i/>
          <w:sz w:val="24"/>
          <w:szCs w:val="24"/>
        </w:rPr>
        <w:t xml:space="preserve">Một số vấn đề cơ bản của Hiến pháp các nước trên thế giới, </w:t>
      </w:r>
      <w:r w:rsidRPr="00787BF1">
        <w:rPr>
          <w:sz w:val="24"/>
          <w:szCs w:val="24"/>
        </w:rPr>
        <w:t>Nxb. Chính trị quốc gia, 2012.</w:t>
      </w:r>
    </w:p>
    <w:p w:rsidR="0076741C" w:rsidRPr="00787BF1" w:rsidRDefault="0076741C" w:rsidP="0076741C">
      <w:pPr>
        <w:widowControl w:val="0"/>
        <w:numPr>
          <w:ilvl w:val="0"/>
          <w:numId w:val="1"/>
        </w:numPr>
        <w:tabs>
          <w:tab w:val="left" w:pos="567"/>
        </w:tabs>
        <w:adjustRightInd w:val="0"/>
        <w:snapToGrid w:val="0"/>
        <w:spacing w:before="120"/>
        <w:ind w:left="0" w:firstLine="284"/>
        <w:jc w:val="both"/>
        <w:rPr>
          <w:sz w:val="24"/>
          <w:szCs w:val="24"/>
        </w:rPr>
      </w:pPr>
      <w:r w:rsidRPr="00787BF1">
        <w:rPr>
          <w:sz w:val="24"/>
          <w:szCs w:val="24"/>
        </w:rPr>
        <w:t xml:space="preserve">Thái Vĩnh Thắng, </w:t>
      </w:r>
      <w:r w:rsidRPr="00787BF1">
        <w:rPr>
          <w:i/>
          <w:sz w:val="24"/>
          <w:szCs w:val="24"/>
        </w:rPr>
        <w:t>Lịch sử lập hiến Việt Nam</w:t>
      </w:r>
      <w:r w:rsidRPr="00787BF1">
        <w:rPr>
          <w:sz w:val="24"/>
          <w:szCs w:val="24"/>
        </w:rPr>
        <w:t>, Nxb. Chính trị quốc gia, Hà Nội, 1997.</w:t>
      </w:r>
    </w:p>
    <w:p w:rsidR="0076741C" w:rsidRPr="00787BF1" w:rsidRDefault="0076741C" w:rsidP="0076741C">
      <w:pPr>
        <w:widowControl w:val="0"/>
        <w:numPr>
          <w:ilvl w:val="0"/>
          <w:numId w:val="1"/>
        </w:numPr>
        <w:tabs>
          <w:tab w:val="left" w:pos="567"/>
        </w:tabs>
        <w:adjustRightInd w:val="0"/>
        <w:snapToGrid w:val="0"/>
        <w:spacing w:before="120"/>
        <w:ind w:left="0" w:firstLine="284"/>
        <w:jc w:val="both"/>
        <w:rPr>
          <w:b/>
          <w:bCs/>
          <w:sz w:val="24"/>
          <w:szCs w:val="26"/>
          <w:lang w:eastAsia="vi-VN"/>
        </w:rPr>
      </w:pPr>
      <w:r w:rsidRPr="00787BF1">
        <w:rPr>
          <w:sz w:val="24"/>
          <w:szCs w:val="24"/>
        </w:rPr>
        <w:t xml:space="preserve">Vũ Quốc Thông, </w:t>
      </w:r>
      <w:r w:rsidRPr="00787BF1">
        <w:rPr>
          <w:i/>
          <w:sz w:val="24"/>
          <w:szCs w:val="24"/>
        </w:rPr>
        <w:t xml:space="preserve">Pháp chế sử, </w:t>
      </w:r>
      <w:r w:rsidRPr="00787BF1">
        <w:rPr>
          <w:sz w:val="24"/>
          <w:szCs w:val="24"/>
        </w:rPr>
        <w:t>Nxb. Tủ sách đại học, Sài Gòn, 1973.</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64FBE"/>
    <w:multiLevelType w:val="hybridMultilevel"/>
    <w:tmpl w:val="CDE8B528"/>
    <w:lvl w:ilvl="0" w:tplc="5B4CE5CA">
      <w:start w:val="1"/>
      <w:numFmt w:val="decimal"/>
      <w:pStyle w:val="List2"/>
      <w:lvlText w:val="%1."/>
      <w:lvlJc w:val="left"/>
      <w:pPr>
        <w:ind w:left="1288" w:hanging="360"/>
      </w:pPr>
      <w:rPr>
        <w:rFonts w:ascii="Times New Roman" w:eastAsia="Times New Roman" w:hAnsi="Times New Roman" w:cs="Times New Roman"/>
        <w:b w:val="0"/>
        <w:color w:val="auto"/>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41C"/>
    <w:rsid w:val="001324E1"/>
    <w:rsid w:val="005630BE"/>
    <w:rsid w:val="00666C5C"/>
    <w:rsid w:val="0076741C"/>
    <w:rsid w:val="00A8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AEFF6-BC92-43E3-B19C-68EFAAD8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41C"/>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76741C"/>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76741C"/>
    <w:rPr>
      <w:rFonts w:eastAsia="Calibri"/>
      <w:b w:val="0"/>
      <w:iCs/>
    </w:rPr>
  </w:style>
  <w:style w:type="paragraph" w:styleId="List2">
    <w:name w:val="List 2"/>
    <w:basedOn w:val="Normal"/>
    <w:rsid w:val="0076741C"/>
    <w:pPr>
      <w:numPr>
        <w:numId w:val="1"/>
      </w:numPr>
      <w:spacing w:line="288" w:lineRule="auto"/>
    </w:pPr>
    <w:rPr>
      <w:rFonts w:eastAsia="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2025-12-15T04:59:00Z</dcterms:created>
  <dcterms:modified xsi:type="dcterms:W3CDTF">2025-12-15T04:59:00Z</dcterms:modified>
</cp:coreProperties>
</file>